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E73" w:rsidRDefault="002A5E73" w:rsidP="002A5E73">
      <w:pPr>
        <w:jc w:val="center"/>
      </w:pPr>
      <w:r>
        <w:t>SUMMARY</w:t>
      </w:r>
    </w:p>
    <w:p w:rsidR="00C858FA" w:rsidRDefault="00C858FA">
      <w:r>
        <w:t xml:space="preserve">EXAMINE YOUR LESSON </w:t>
      </w:r>
      <w:r w:rsidR="00584700">
        <w:t>PLANS,</w:t>
      </w:r>
      <w:r>
        <w:t xml:space="preserve"> ANALYZE YOUR OBJECTIVES AND ACITIVITIES AND RECORD THE WAYS IN WHICH YOU</w:t>
      </w:r>
      <w:bookmarkStart w:id="0" w:name="_GoBack"/>
      <w:bookmarkEnd w:id="0"/>
      <w:r>
        <w:t xml:space="preserve"> ADDRESSED THE COMPONENTS OF BLOOM’S </w:t>
      </w:r>
      <w:r w:rsidR="00385A3F">
        <w:t xml:space="preserve">REVISED </w:t>
      </w:r>
      <w:r>
        <w:t xml:space="preserve">TAXONOMY AND GARDNER’S MULTIPLE INTELLIGENCES.  DOWNLOAD THE CHART AND COMPLETE IT TO INDICATE THE ACTIVITIES </w:t>
      </w:r>
      <w:r w:rsidR="00556C8A">
        <w:t xml:space="preserve">IN YOUR LEESON PLANS </w:t>
      </w:r>
      <w:r>
        <w:t>THAT APPLY TO EACH COMPONENT.</w:t>
      </w:r>
      <w:r w:rsidR="00556C8A">
        <w:t xml:space="preserve"> (YOU ONLY NEED ONE CHART FOR ALL LESSONS</w:t>
      </w:r>
      <w:r w:rsidR="00B143DA">
        <w:t>.  ALSO, IF YOU DO NOT HAVE AN ACTIVITY TO PUT IN A COLUMN, THAT IS OK.</w:t>
      </w:r>
      <w:r w:rsidR="00F5758A">
        <w:t xml:space="preserve">  INCLUDE IDEAS FOR YOUR FOLLOW-UP ACTIVITIES</w:t>
      </w:r>
      <w:r w:rsidR="00584700">
        <w:t>) THIS</w:t>
      </w:r>
      <w:r w:rsidR="00EE139A">
        <w:t xml:space="preserve"> WILL ACT AS A SUMMARY. </w:t>
      </w:r>
    </w:p>
    <w:p w:rsidR="00C858FA" w:rsidRDefault="00C858FA" w:rsidP="00C858FA">
      <w:r>
        <w:t>BLOOM’S TAXONOMY: REFER TO THIS AND OTHER WEBSITES</w:t>
      </w:r>
    </w:p>
    <w:p w:rsidR="00F6301E" w:rsidRDefault="009F1FDE">
      <w:hyperlink r:id="rId7" w:history="1">
        <w:r w:rsidR="00C858FA" w:rsidRPr="000E1D71">
          <w:rPr>
            <w:rStyle w:val="Hyperlink"/>
          </w:rPr>
          <w:t>http://www.uwsp.edu/education/lwilson/curric/newtaxonomy.htm</w:t>
        </w:r>
      </w:hyperlink>
      <w:r w:rsidR="00C858FA">
        <w:t xml:space="preserve">:  </w:t>
      </w:r>
    </w:p>
    <w:p w:rsidR="00C858FA" w:rsidRDefault="00385A3F">
      <w:r>
        <w:t>EXAMPLE:  (</w:t>
      </w:r>
      <w:r w:rsidR="00C858FA">
        <w:t>DELETE MY INFO BEFORE YOU INSERT YOURS)</w:t>
      </w:r>
    </w:p>
    <w:p w:rsidR="00C7418C" w:rsidRDefault="00C7418C" w:rsidP="00C7418C">
      <w:pPr>
        <w:jc w:val="center"/>
      </w:pPr>
      <w:r>
        <w:t>REVISED BLOOM’S TAXONOMY</w:t>
      </w:r>
    </w:p>
    <w:p w:rsidR="0040239B" w:rsidRPr="0040239B" w:rsidRDefault="0040239B" w:rsidP="0040239B">
      <w:pPr>
        <w:jc w:val="center"/>
        <w:rPr>
          <w:b/>
        </w:rPr>
      </w:pPr>
      <w:r>
        <w:rPr>
          <w:b/>
        </w:rPr>
        <w:t>DD’s Lesson Plans</w:t>
      </w:r>
    </w:p>
    <w:tbl>
      <w:tblPr>
        <w:tblStyle w:val="TableGrid"/>
        <w:tblW w:w="9210" w:type="dxa"/>
        <w:tblInd w:w="720" w:type="dxa"/>
        <w:tblLayout w:type="fixed"/>
        <w:tblLook w:val="04A0" w:firstRow="1" w:lastRow="0" w:firstColumn="1" w:lastColumn="0" w:noHBand="0" w:noVBand="1"/>
      </w:tblPr>
      <w:tblGrid>
        <w:gridCol w:w="1581"/>
        <w:gridCol w:w="1497"/>
        <w:gridCol w:w="1530"/>
        <w:gridCol w:w="1620"/>
        <w:gridCol w:w="1598"/>
        <w:gridCol w:w="1384"/>
      </w:tblGrid>
      <w:tr w:rsidR="007D5632" w:rsidRPr="007D5632" w:rsidTr="00A01D1F">
        <w:tc>
          <w:tcPr>
            <w:tcW w:w="1581" w:type="dxa"/>
          </w:tcPr>
          <w:p w:rsidR="000310C1" w:rsidRPr="007D5632" w:rsidRDefault="000310C1">
            <w:pPr>
              <w:ind w:left="0"/>
              <w:rPr>
                <w:b/>
                <w:sz w:val="20"/>
                <w:szCs w:val="20"/>
              </w:rPr>
            </w:pPr>
            <w:r w:rsidRPr="007D5632">
              <w:rPr>
                <w:rStyle w:val="style1561"/>
                <w:sz w:val="20"/>
                <w:szCs w:val="20"/>
              </w:rPr>
              <w:t>Remembering:</w:t>
            </w:r>
            <w:r w:rsidRPr="007D5632">
              <w:rPr>
                <w:rFonts w:ascii="Century Gothic" w:hAnsi="Century Gothic"/>
                <w:b/>
                <w:sz w:val="20"/>
                <w:szCs w:val="20"/>
              </w:rPr>
              <w:t xml:space="preserve"> </w:t>
            </w:r>
            <w:r w:rsidRPr="007D5632">
              <w:rPr>
                <w:rStyle w:val="style1561"/>
                <w:sz w:val="20"/>
                <w:szCs w:val="20"/>
              </w:rPr>
              <w:t>Retrieving, recalling, or recognizing</w:t>
            </w:r>
            <w:r w:rsidRPr="007D5632">
              <w:rPr>
                <w:rStyle w:val="style1541"/>
                <w:b/>
                <w:sz w:val="20"/>
                <w:szCs w:val="20"/>
              </w:rPr>
              <w:t xml:space="preserve"> knowledge from memory.</w:t>
            </w:r>
          </w:p>
        </w:tc>
        <w:tc>
          <w:tcPr>
            <w:tcW w:w="1497" w:type="dxa"/>
          </w:tcPr>
          <w:p w:rsidR="000310C1" w:rsidRPr="007D5632" w:rsidRDefault="007D5632">
            <w:pPr>
              <w:ind w:left="0"/>
              <w:rPr>
                <w:b/>
                <w:sz w:val="20"/>
                <w:szCs w:val="20"/>
              </w:rPr>
            </w:pPr>
            <w:r w:rsidRPr="007D5632">
              <w:rPr>
                <w:rStyle w:val="style1541"/>
                <w:b/>
                <w:sz w:val="20"/>
                <w:szCs w:val="20"/>
              </w:rPr>
              <w:t>Understanding: I</w:t>
            </w:r>
            <w:r w:rsidRPr="007D5632">
              <w:rPr>
                <w:rStyle w:val="style1541"/>
                <w:b/>
                <w:bCs/>
                <w:sz w:val="20"/>
                <w:szCs w:val="20"/>
              </w:rPr>
              <w:t>nterpreting, exemplifying, classifying, summarizing, inferring, comparing, and explaining. </w:t>
            </w:r>
          </w:p>
        </w:tc>
        <w:tc>
          <w:tcPr>
            <w:tcW w:w="1530" w:type="dxa"/>
          </w:tcPr>
          <w:p w:rsidR="000310C1" w:rsidRPr="007D5632" w:rsidRDefault="007D5632" w:rsidP="007D5632">
            <w:pPr>
              <w:ind w:left="0"/>
              <w:rPr>
                <w:b/>
                <w:sz w:val="20"/>
                <w:szCs w:val="20"/>
              </w:rPr>
            </w:pPr>
            <w:r w:rsidRPr="007D5632">
              <w:rPr>
                <w:rStyle w:val="style1541"/>
                <w:b/>
                <w:sz w:val="20"/>
                <w:szCs w:val="20"/>
              </w:rPr>
              <w:t xml:space="preserve"> Applying:  Carrying out or using a procedure through </w:t>
            </w:r>
            <w:r w:rsidRPr="007D5632">
              <w:rPr>
                <w:rStyle w:val="style1541"/>
                <w:b/>
                <w:bCs/>
                <w:sz w:val="20"/>
                <w:szCs w:val="20"/>
              </w:rPr>
              <w:t>executing, or implementing</w:t>
            </w:r>
          </w:p>
        </w:tc>
        <w:tc>
          <w:tcPr>
            <w:tcW w:w="1620" w:type="dxa"/>
          </w:tcPr>
          <w:p w:rsidR="000310C1" w:rsidRPr="007D5632" w:rsidRDefault="007D5632">
            <w:pPr>
              <w:ind w:left="0"/>
              <w:rPr>
                <w:b/>
                <w:sz w:val="20"/>
                <w:szCs w:val="20"/>
              </w:rPr>
            </w:pPr>
            <w:r w:rsidRPr="007D5632">
              <w:rPr>
                <w:b/>
                <w:sz w:val="20"/>
                <w:szCs w:val="20"/>
              </w:rPr>
              <w:t xml:space="preserve">Analyzing:  </w:t>
            </w:r>
            <w:r w:rsidRPr="007D5632">
              <w:rPr>
                <w:rStyle w:val="style1541"/>
                <w:b/>
                <w:bCs/>
                <w:sz w:val="20"/>
                <w:szCs w:val="20"/>
              </w:rPr>
              <w:t>differentiating, organizing, and attributing</w:t>
            </w:r>
            <w:r w:rsidRPr="007D5632">
              <w:rPr>
                <w:rStyle w:val="style1541"/>
                <w:b/>
                <w:sz w:val="20"/>
                <w:szCs w:val="20"/>
              </w:rPr>
              <w:t xml:space="preserve">, as well as </w:t>
            </w:r>
            <w:r w:rsidRPr="007D5632">
              <w:rPr>
                <w:rStyle w:val="style1541"/>
                <w:b/>
                <w:bCs/>
                <w:sz w:val="20"/>
                <w:szCs w:val="20"/>
              </w:rPr>
              <w:t>being able to distinguish between</w:t>
            </w:r>
            <w:r w:rsidRPr="007D5632">
              <w:rPr>
                <w:rStyle w:val="style1541"/>
                <w:b/>
                <w:sz w:val="20"/>
                <w:szCs w:val="20"/>
              </w:rPr>
              <w:t xml:space="preserve"> the components or parts.</w:t>
            </w:r>
          </w:p>
        </w:tc>
        <w:tc>
          <w:tcPr>
            <w:tcW w:w="1598" w:type="dxa"/>
          </w:tcPr>
          <w:p w:rsidR="000310C1" w:rsidRPr="007D5632" w:rsidRDefault="007D5632">
            <w:pPr>
              <w:ind w:left="0"/>
              <w:rPr>
                <w:b/>
                <w:sz w:val="20"/>
                <w:szCs w:val="20"/>
              </w:rPr>
            </w:pPr>
            <w:r w:rsidRPr="007D5632">
              <w:rPr>
                <w:rStyle w:val="style1561"/>
                <w:sz w:val="20"/>
                <w:szCs w:val="20"/>
              </w:rPr>
              <w:t>Evaluating:</w:t>
            </w:r>
            <w:r w:rsidRPr="007D5632">
              <w:rPr>
                <w:rStyle w:val="style1541"/>
                <w:b/>
                <w:sz w:val="20"/>
                <w:szCs w:val="20"/>
              </w:rPr>
              <w:t xml:space="preserve">  Making judgments based on criteria and standards through </w:t>
            </w:r>
            <w:r w:rsidRPr="007D5632">
              <w:rPr>
                <w:rStyle w:val="style1541"/>
                <w:b/>
                <w:bCs/>
                <w:sz w:val="20"/>
                <w:szCs w:val="20"/>
              </w:rPr>
              <w:t>checking and critiquing</w:t>
            </w:r>
            <w:r w:rsidRPr="007D5632">
              <w:rPr>
                <w:rStyle w:val="style1541"/>
                <w:b/>
                <w:sz w:val="20"/>
                <w:szCs w:val="20"/>
              </w:rPr>
              <w:t>.</w:t>
            </w:r>
          </w:p>
        </w:tc>
        <w:tc>
          <w:tcPr>
            <w:tcW w:w="1384" w:type="dxa"/>
          </w:tcPr>
          <w:p w:rsidR="000310C1" w:rsidRPr="007D5632" w:rsidRDefault="007D5632">
            <w:pPr>
              <w:ind w:left="0"/>
              <w:rPr>
                <w:b/>
                <w:sz w:val="20"/>
                <w:szCs w:val="20"/>
              </w:rPr>
            </w:pPr>
            <w:r w:rsidRPr="007D5632">
              <w:rPr>
                <w:rStyle w:val="style1541"/>
                <w:b/>
                <w:bCs/>
                <w:sz w:val="20"/>
                <w:szCs w:val="20"/>
              </w:rPr>
              <w:t>Creating: reorganizing</w:t>
            </w:r>
            <w:r w:rsidRPr="007D5632">
              <w:rPr>
                <w:rStyle w:val="style1541"/>
                <w:b/>
                <w:sz w:val="20"/>
                <w:szCs w:val="20"/>
              </w:rPr>
              <w:t xml:space="preserve"> elements into a new pattern or structure through</w:t>
            </w:r>
            <w:r w:rsidRPr="007D5632">
              <w:rPr>
                <w:rStyle w:val="style1541"/>
                <w:b/>
                <w:bCs/>
                <w:sz w:val="20"/>
                <w:szCs w:val="20"/>
              </w:rPr>
              <w:t xml:space="preserve"> generating, planning, or producing</w:t>
            </w:r>
            <w:r w:rsidRPr="007D5632">
              <w:rPr>
                <w:rStyle w:val="style1541"/>
                <w:b/>
                <w:sz w:val="20"/>
                <w:szCs w:val="20"/>
              </w:rPr>
              <w:t>.</w:t>
            </w:r>
          </w:p>
        </w:tc>
      </w:tr>
      <w:tr w:rsidR="007D5632" w:rsidTr="00A01D1F">
        <w:tc>
          <w:tcPr>
            <w:tcW w:w="1581" w:type="dxa"/>
          </w:tcPr>
          <w:p w:rsidR="000310C1" w:rsidRDefault="0040239B" w:rsidP="00042844">
            <w:pPr>
              <w:ind w:left="0"/>
            </w:pPr>
            <w:r>
              <w:t xml:space="preserve">Recalling </w:t>
            </w:r>
            <w:r w:rsidR="00042844">
              <w:t>what a numerator and denominator are</w:t>
            </w:r>
            <w:r w:rsidR="00556C8A">
              <w:t xml:space="preserve"> </w:t>
            </w:r>
          </w:p>
        </w:tc>
        <w:tc>
          <w:tcPr>
            <w:tcW w:w="1497" w:type="dxa"/>
          </w:tcPr>
          <w:p w:rsidR="000310C1" w:rsidRDefault="00042844">
            <w:pPr>
              <w:ind w:left="0"/>
            </w:pPr>
            <w:r>
              <w:t>Classifying numbers as mixed numbers or improper fractions</w:t>
            </w:r>
          </w:p>
        </w:tc>
        <w:tc>
          <w:tcPr>
            <w:tcW w:w="1530" w:type="dxa"/>
          </w:tcPr>
          <w:p w:rsidR="000310C1" w:rsidRDefault="00B5006D" w:rsidP="00B5006D">
            <w:pPr>
              <w:ind w:left="0"/>
            </w:pPr>
            <w:r>
              <w:t>Following a set of step-by-step instructions to solve fraction multiplication problems</w:t>
            </w:r>
          </w:p>
        </w:tc>
        <w:tc>
          <w:tcPr>
            <w:tcW w:w="1620" w:type="dxa"/>
          </w:tcPr>
          <w:p w:rsidR="000310C1" w:rsidRDefault="00A01D1F">
            <w:pPr>
              <w:ind w:left="0"/>
            </w:pPr>
            <w:r>
              <w:t>Assessing equivalence of mixed numbers and improper fractions; explaining why the two are equal.</w:t>
            </w:r>
          </w:p>
        </w:tc>
        <w:tc>
          <w:tcPr>
            <w:tcW w:w="1598" w:type="dxa"/>
          </w:tcPr>
          <w:p w:rsidR="000310C1" w:rsidRDefault="00B5006D">
            <w:pPr>
              <w:ind w:left="0"/>
            </w:pPr>
            <w:proofErr w:type="spellStart"/>
            <w:r>
              <w:t>Dicussing</w:t>
            </w:r>
            <w:proofErr w:type="spellEnd"/>
            <w:r>
              <w:t xml:space="preserve"> and evaluating possible solutions to the question of how to reduce or increase the recipe quantity without altering the cookie dough mixture </w:t>
            </w:r>
          </w:p>
        </w:tc>
        <w:tc>
          <w:tcPr>
            <w:tcW w:w="1384" w:type="dxa"/>
          </w:tcPr>
          <w:p w:rsidR="000310C1" w:rsidRDefault="00B5006D">
            <w:pPr>
              <w:ind w:left="0"/>
            </w:pPr>
            <w:r>
              <w:t>Altering proportions to create a new quantity of cookies based on a recipe for a larger quantity</w:t>
            </w:r>
            <w:r w:rsidR="0040239B">
              <w:t xml:space="preserve"> </w:t>
            </w:r>
          </w:p>
        </w:tc>
      </w:tr>
    </w:tbl>
    <w:p w:rsidR="00C77E5E" w:rsidRDefault="00C77E5E" w:rsidP="00C77E5E">
      <w:pPr>
        <w:jc w:val="center"/>
      </w:pPr>
    </w:p>
    <w:p w:rsidR="0012199E" w:rsidRDefault="0012199E" w:rsidP="00C77E5E">
      <w:pPr>
        <w:jc w:val="center"/>
      </w:pPr>
      <w:r>
        <w:t xml:space="preserve">GARDNER’S MULTIPLE INTELLIGENCES </w:t>
      </w:r>
      <w:r w:rsidR="00C77E5E">
        <w:t xml:space="preserve"> </w:t>
      </w:r>
    </w:p>
    <w:p w:rsidR="00C858FA" w:rsidRDefault="00556C8A" w:rsidP="00556C8A">
      <w:pPr>
        <w:jc w:val="center"/>
      </w:pPr>
      <w:r>
        <w:lastRenderedPageBreak/>
        <w:t>DD’S LESSON PLANS</w:t>
      </w:r>
    </w:p>
    <w:tbl>
      <w:tblPr>
        <w:tblStyle w:val="TableGrid"/>
        <w:tblW w:w="0" w:type="auto"/>
        <w:tblInd w:w="720" w:type="dxa"/>
        <w:tblLook w:val="04A0" w:firstRow="1" w:lastRow="0" w:firstColumn="1" w:lastColumn="0" w:noHBand="0" w:noVBand="1"/>
      </w:tblPr>
      <w:tblGrid>
        <w:gridCol w:w="2148"/>
        <w:gridCol w:w="2248"/>
        <w:gridCol w:w="2252"/>
        <w:gridCol w:w="2208"/>
      </w:tblGrid>
      <w:tr w:rsidR="00ED4783" w:rsidTr="00ED4783">
        <w:tc>
          <w:tcPr>
            <w:tcW w:w="2148" w:type="dxa"/>
          </w:tcPr>
          <w:p w:rsidR="00ED4783" w:rsidRDefault="00ED4783" w:rsidP="00ED4783">
            <w:pPr>
              <w:ind w:left="0"/>
            </w:pPr>
            <w:r>
              <w:t>VERBAL-LINGUISTIC</w:t>
            </w:r>
          </w:p>
        </w:tc>
        <w:tc>
          <w:tcPr>
            <w:tcW w:w="2248" w:type="dxa"/>
          </w:tcPr>
          <w:p w:rsidR="00ED4783" w:rsidRDefault="00ED4783" w:rsidP="00ED4783">
            <w:pPr>
              <w:spacing w:beforeAutospacing="0" w:afterAutospacing="0"/>
              <w:ind w:left="0"/>
            </w:pPr>
            <w:r>
              <w:t>LOGICAL-</w:t>
            </w:r>
          </w:p>
          <w:p w:rsidR="00ED4783" w:rsidRDefault="00ED4783" w:rsidP="00ED4783">
            <w:pPr>
              <w:spacing w:beforeAutospacing="0" w:afterAutospacing="0"/>
              <w:ind w:left="0"/>
            </w:pPr>
            <w:r>
              <w:t>MATHEMATICAL</w:t>
            </w:r>
          </w:p>
        </w:tc>
        <w:tc>
          <w:tcPr>
            <w:tcW w:w="2252" w:type="dxa"/>
          </w:tcPr>
          <w:p w:rsidR="00ED4783" w:rsidRDefault="00ED4783" w:rsidP="00ED4783">
            <w:pPr>
              <w:ind w:left="0"/>
            </w:pPr>
            <w:r>
              <w:t>VISUAL-SPATIAL</w:t>
            </w:r>
          </w:p>
        </w:tc>
        <w:tc>
          <w:tcPr>
            <w:tcW w:w="2208" w:type="dxa"/>
          </w:tcPr>
          <w:p w:rsidR="00ED4783" w:rsidRDefault="00ED4783" w:rsidP="00ED4783">
            <w:pPr>
              <w:ind w:left="0"/>
            </w:pPr>
            <w:r>
              <w:t>BODILY-KINESTHETIC</w:t>
            </w:r>
          </w:p>
        </w:tc>
      </w:tr>
      <w:tr w:rsidR="00ED4783" w:rsidTr="00ED4783">
        <w:tc>
          <w:tcPr>
            <w:tcW w:w="2148" w:type="dxa"/>
          </w:tcPr>
          <w:p w:rsidR="00ED4783" w:rsidRDefault="00A7071B" w:rsidP="00ED4783">
            <w:pPr>
              <w:ind w:left="0"/>
            </w:pPr>
            <w:r>
              <w:t xml:space="preserve">Presenting explanations of </w:t>
            </w:r>
            <w:r w:rsidR="00B5006D">
              <w:t xml:space="preserve">recipe process </w:t>
            </w:r>
          </w:p>
          <w:p w:rsidR="00ED4783" w:rsidRDefault="00ED4783" w:rsidP="00ED4783">
            <w:pPr>
              <w:ind w:left="0"/>
            </w:pPr>
          </w:p>
          <w:p w:rsidR="00ED4783" w:rsidRDefault="00ED4783" w:rsidP="00ED4783">
            <w:pPr>
              <w:ind w:left="0"/>
            </w:pPr>
          </w:p>
          <w:p w:rsidR="00ED4783" w:rsidRDefault="00ED4783" w:rsidP="00ED4783">
            <w:pPr>
              <w:ind w:left="0"/>
            </w:pPr>
          </w:p>
        </w:tc>
        <w:tc>
          <w:tcPr>
            <w:tcW w:w="2248" w:type="dxa"/>
          </w:tcPr>
          <w:p w:rsidR="00ED4783" w:rsidRDefault="00B5006D" w:rsidP="00ED4783">
            <w:pPr>
              <w:ind w:left="0"/>
            </w:pPr>
            <w:r>
              <w:t>Giving step-by-step procedure to solve math equations to multiply fractions</w:t>
            </w:r>
          </w:p>
        </w:tc>
        <w:tc>
          <w:tcPr>
            <w:tcW w:w="2252" w:type="dxa"/>
          </w:tcPr>
          <w:p w:rsidR="00ED4783" w:rsidRDefault="00B5006D" w:rsidP="00ED4783">
            <w:pPr>
              <w:ind w:left="0"/>
            </w:pPr>
            <w:r>
              <w:t>Folding and coloring papers to represent fractions (in fraction multiplication lesson)</w:t>
            </w:r>
          </w:p>
        </w:tc>
        <w:tc>
          <w:tcPr>
            <w:tcW w:w="2208" w:type="dxa"/>
          </w:tcPr>
          <w:p w:rsidR="00ED4783" w:rsidRDefault="00B5006D" w:rsidP="00ED4783">
            <w:pPr>
              <w:ind w:left="0"/>
            </w:pPr>
            <w:r>
              <w:t>Mixing and kneading cookie dough</w:t>
            </w:r>
          </w:p>
        </w:tc>
      </w:tr>
      <w:tr w:rsidR="00ED4783" w:rsidTr="00ED4783">
        <w:tc>
          <w:tcPr>
            <w:tcW w:w="2148" w:type="dxa"/>
          </w:tcPr>
          <w:p w:rsidR="00ED4783" w:rsidRDefault="00ED4783" w:rsidP="00ED4783">
            <w:pPr>
              <w:ind w:left="0"/>
            </w:pPr>
            <w:r>
              <w:t>MUSICAL</w:t>
            </w:r>
          </w:p>
        </w:tc>
        <w:tc>
          <w:tcPr>
            <w:tcW w:w="2248" w:type="dxa"/>
          </w:tcPr>
          <w:p w:rsidR="00ED4783" w:rsidRDefault="00ED4783" w:rsidP="00ED4783">
            <w:pPr>
              <w:ind w:left="0"/>
            </w:pPr>
            <w:r>
              <w:t>INTERPERSONAL</w:t>
            </w:r>
          </w:p>
        </w:tc>
        <w:tc>
          <w:tcPr>
            <w:tcW w:w="2252" w:type="dxa"/>
          </w:tcPr>
          <w:p w:rsidR="00ED4783" w:rsidRDefault="00ED4783" w:rsidP="00ED4783">
            <w:pPr>
              <w:ind w:left="0"/>
            </w:pPr>
            <w:r>
              <w:t>INTRAPERSONAL</w:t>
            </w:r>
          </w:p>
        </w:tc>
        <w:tc>
          <w:tcPr>
            <w:tcW w:w="2208" w:type="dxa"/>
          </w:tcPr>
          <w:p w:rsidR="00ED4783" w:rsidRDefault="00ED4783" w:rsidP="00ED4783">
            <w:pPr>
              <w:ind w:left="0"/>
            </w:pPr>
            <w:r>
              <w:t>NATURALISTIC</w:t>
            </w:r>
          </w:p>
        </w:tc>
      </w:tr>
      <w:tr w:rsidR="00ED4783" w:rsidTr="00ED4783">
        <w:tc>
          <w:tcPr>
            <w:tcW w:w="2148" w:type="dxa"/>
          </w:tcPr>
          <w:p w:rsidR="00ED4783" w:rsidRDefault="00C77E5E" w:rsidP="00ED4783">
            <w:pPr>
              <w:ind w:left="0"/>
            </w:pPr>
            <w:r>
              <w:t xml:space="preserve">Singing times tables song to review multiplication tables </w:t>
            </w:r>
          </w:p>
          <w:p w:rsidR="00ED4783" w:rsidRDefault="00ED4783" w:rsidP="00ED4783">
            <w:pPr>
              <w:ind w:left="0"/>
            </w:pPr>
          </w:p>
          <w:p w:rsidR="00ED4783" w:rsidRDefault="00ED4783" w:rsidP="00ED4783">
            <w:pPr>
              <w:ind w:left="0"/>
            </w:pPr>
          </w:p>
        </w:tc>
        <w:tc>
          <w:tcPr>
            <w:tcW w:w="2248" w:type="dxa"/>
          </w:tcPr>
          <w:p w:rsidR="00ED4783" w:rsidRDefault="00B5006D" w:rsidP="00ED4783">
            <w:pPr>
              <w:ind w:left="0"/>
            </w:pPr>
            <w:r>
              <w:t xml:space="preserve">Discussing possible solutions to various problems, discussing strategies used to solve problems </w:t>
            </w:r>
          </w:p>
        </w:tc>
        <w:tc>
          <w:tcPr>
            <w:tcW w:w="2252" w:type="dxa"/>
          </w:tcPr>
          <w:p w:rsidR="00ED4783" w:rsidRDefault="00B5006D" w:rsidP="00B713F6">
            <w:pPr>
              <w:ind w:left="0"/>
            </w:pPr>
            <w:r>
              <w:t>Self-reflection and self-review on rubric  to evaluate what the student learned, what they did well, and what they feel they still need to work on.</w:t>
            </w:r>
          </w:p>
        </w:tc>
        <w:tc>
          <w:tcPr>
            <w:tcW w:w="2208" w:type="dxa"/>
          </w:tcPr>
          <w:p w:rsidR="00ED4783" w:rsidRDefault="00C77E5E" w:rsidP="00B5006D">
            <w:pPr>
              <w:ind w:left="0"/>
            </w:pPr>
            <w:r>
              <w:t>Having students bring in/explain their own examples of fractions and allowing them to use natural items for  (for example, number of shrubs with flowers in front yard out of total number of shrubs, number of petals missing from a flower, etc.)</w:t>
            </w:r>
          </w:p>
        </w:tc>
      </w:tr>
    </w:tbl>
    <w:p w:rsidR="00C858FA" w:rsidRDefault="00C77E5E">
      <w:r>
        <w:t>Follow-up Activities (not included in 3 lesson plans submitted):  These activities would actually be done somewhere in the middle or beginning of the fractions unit, not as “follow-up” per se.</w:t>
      </w:r>
    </w:p>
    <w:p w:rsidR="00C77E5E" w:rsidRDefault="00C77E5E">
      <w:r>
        <w:t>To help students with musical intelligence, I would plan to have the class sing a song to review the times tables.  At some point, I would also ask students to do a project finding and illustrating/demonstrating examples of fractions.  This would allow students of various intelligences to find examples from their areas of interest: a musical student might discuss the meanings of a “half note” and a “quarter note” and why they are fractions; a naturalistic student might count up the fraction of shrubs in their yard that have flowers.  Kinesthetic learners might choose to build a model to represent the fractions, an interpersonal student might choose to take a survey in the class and represent the number of people who give a certain answer as a fraction; a visual person might draw a picture, etc.</w:t>
      </w:r>
    </w:p>
    <w:p w:rsidR="00C858FA" w:rsidRDefault="00C858FA"/>
    <w:p w:rsidR="00C858FA" w:rsidRDefault="00C858FA" w:rsidP="009A3F96">
      <w:pPr>
        <w:ind w:left="0"/>
      </w:pPr>
    </w:p>
    <w:p w:rsidR="00C858FA" w:rsidRDefault="00C858FA"/>
    <w:sectPr w:rsidR="00C858FA" w:rsidSect="00F6301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FDE" w:rsidRDefault="009F1FDE" w:rsidP="009F1FDE">
      <w:pPr>
        <w:spacing w:before="0" w:after="0"/>
      </w:pPr>
      <w:r>
        <w:separator/>
      </w:r>
    </w:p>
  </w:endnote>
  <w:endnote w:type="continuationSeparator" w:id="0">
    <w:p w:rsidR="009F1FDE" w:rsidRDefault="009F1FDE" w:rsidP="009F1F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FDE" w:rsidRDefault="009F1FDE" w:rsidP="009F1FDE">
      <w:pPr>
        <w:spacing w:before="0" w:after="0"/>
      </w:pPr>
      <w:r>
        <w:separator/>
      </w:r>
    </w:p>
  </w:footnote>
  <w:footnote w:type="continuationSeparator" w:id="0">
    <w:p w:rsidR="009F1FDE" w:rsidRDefault="009F1FDE" w:rsidP="009F1F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FDE" w:rsidRDefault="009F1FDE" w:rsidP="009F1FDE">
    <w:pPr>
      <w:pStyle w:val="Header"/>
    </w:pPr>
    <w:r>
      <w:t xml:space="preserve">Shenandoah </w:t>
    </w:r>
    <w:proofErr w:type="spellStart"/>
    <w:r>
      <w:t>Paun</w:t>
    </w:r>
    <w:proofErr w:type="spellEnd"/>
    <w:r>
      <w:br/>
      <w:t>EDUS 515</w:t>
    </w:r>
    <w:r>
      <w:br/>
      <w:t>Independent Project Summary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858FA"/>
    <w:rsid w:val="000310C1"/>
    <w:rsid w:val="00042844"/>
    <w:rsid w:val="000F287A"/>
    <w:rsid w:val="0012199E"/>
    <w:rsid w:val="002A5E73"/>
    <w:rsid w:val="00385A3F"/>
    <w:rsid w:val="003C7569"/>
    <w:rsid w:val="0040239B"/>
    <w:rsid w:val="00556C8A"/>
    <w:rsid w:val="00584700"/>
    <w:rsid w:val="00637558"/>
    <w:rsid w:val="006B4D90"/>
    <w:rsid w:val="007D5632"/>
    <w:rsid w:val="00823212"/>
    <w:rsid w:val="00893B7A"/>
    <w:rsid w:val="009A3F96"/>
    <w:rsid w:val="009B44C9"/>
    <w:rsid w:val="009F1FDE"/>
    <w:rsid w:val="00A01D1F"/>
    <w:rsid w:val="00A7071B"/>
    <w:rsid w:val="00B143DA"/>
    <w:rsid w:val="00B5006D"/>
    <w:rsid w:val="00B713F6"/>
    <w:rsid w:val="00BC655F"/>
    <w:rsid w:val="00BF2046"/>
    <w:rsid w:val="00C7418C"/>
    <w:rsid w:val="00C77E5E"/>
    <w:rsid w:val="00C858FA"/>
    <w:rsid w:val="00CD2C52"/>
    <w:rsid w:val="00DD02A3"/>
    <w:rsid w:val="00DF4210"/>
    <w:rsid w:val="00ED4783"/>
    <w:rsid w:val="00EE139A"/>
    <w:rsid w:val="00EF09F2"/>
    <w:rsid w:val="00F36591"/>
    <w:rsid w:val="00F5758A"/>
    <w:rsid w:val="00F6301E"/>
    <w:rsid w:val="00FB3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8FA"/>
    <w:rPr>
      <w:color w:val="0000FF" w:themeColor="hyperlink"/>
      <w:u w:val="single"/>
    </w:rPr>
  </w:style>
  <w:style w:type="table" w:styleId="TableGrid">
    <w:name w:val="Table Grid"/>
    <w:basedOn w:val="TableNormal"/>
    <w:uiPriority w:val="59"/>
    <w:rsid w:val="000310C1"/>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561">
    <w:name w:val="style1561"/>
    <w:basedOn w:val="DefaultParagraphFont"/>
    <w:rsid w:val="000310C1"/>
    <w:rPr>
      <w:rFonts w:ascii="Trebuchet MS" w:hAnsi="Trebuchet MS" w:hint="default"/>
      <w:b/>
      <w:bCs/>
    </w:rPr>
  </w:style>
  <w:style w:type="character" w:customStyle="1" w:styleId="style1541">
    <w:name w:val="style1541"/>
    <w:basedOn w:val="DefaultParagraphFont"/>
    <w:rsid w:val="000310C1"/>
    <w:rPr>
      <w:rFonts w:ascii="Trebuchet MS" w:hAnsi="Trebuchet MS" w:hint="default"/>
    </w:rPr>
  </w:style>
  <w:style w:type="paragraph" w:styleId="Header">
    <w:name w:val="header"/>
    <w:basedOn w:val="Normal"/>
    <w:link w:val="HeaderChar"/>
    <w:uiPriority w:val="99"/>
    <w:unhideWhenUsed/>
    <w:rsid w:val="009F1FDE"/>
    <w:pPr>
      <w:tabs>
        <w:tab w:val="center" w:pos="4680"/>
        <w:tab w:val="right" w:pos="9360"/>
      </w:tabs>
      <w:spacing w:before="0" w:after="0"/>
    </w:pPr>
  </w:style>
  <w:style w:type="character" w:customStyle="1" w:styleId="HeaderChar">
    <w:name w:val="Header Char"/>
    <w:basedOn w:val="DefaultParagraphFont"/>
    <w:link w:val="Header"/>
    <w:uiPriority w:val="99"/>
    <w:rsid w:val="009F1FDE"/>
  </w:style>
  <w:style w:type="paragraph" w:styleId="Footer">
    <w:name w:val="footer"/>
    <w:basedOn w:val="Normal"/>
    <w:link w:val="FooterChar"/>
    <w:uiPriority w:val="99"/>
    <w:unhideWhenUsed/>
    <w:rsid w:val="009F1FDE"/>
    <w:pPr>
      <w:tabs>
        <w:tab w:val="center" w:pos="4680"/>
        <w:tab w:val="right" w:pos="9360"/>
      </w:tabs>
      <w:spacing w:before="0" w:after="0"/>
    </w:pPr>
  </w:style>
  <w:style w:type="character" w:customStyle="1" w:styleId="FooterChar">
    <w:name w:val="Footer Char"/>
    <w:basedOn w:val="DefaultParagraphFont"/>
    <w:link w:val="Footer"/>
    <w:uiPriority w:val="99"/>
    <w:rsid w:val="009F1F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wsp.edu/education/lwilson/curric/newtaxonomy.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spaun</cp:lastModifiedBy>
  <cp:revision>8</cp:revision>
  <dcterms:created xsi:type="dcterms:W3CDTF">2010-12-02T00:22:00Z</dcterms:created>
  <dcterms:modified xsi:type="dcterms:W3CDTF">2010-12-06T00:32:00Z</dcterms:modified>
</cp:coreProperties>
</file>